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55" w:rsidRPr="000707AE" w:rsidRDefault="000707AE" w:rsidP="00335155">
      <w:pPr>
        <w:spacing w:after="0"/>
        <w:rPr>
          <w:rFonts w:asciiTheme="majorHAnsi" w:hAnsiTheme="majorHAnsi" w:cstheme="majorHAnsi"/>
          <w:b/>
          <w:sz w:val="20"/>
          <w:szCs w:val="20"/>
        </w:rPr>
      </w:pPr>
      <w:r w:rsidRPr="000707AE">
        <w:rPr>
          <w:rFonts w:asciiTheme="majorHAnsi" w:hAnsiTheme="majorHAnsi" w:cstheme="majorHAnsi"/>
          <w:b/>
          <w:sz w:val="20"/>
          <w:szCs w:val="20"/>
        </w:rPr>
        <w:drawing>
          <wp:anchor distT="0" distB="0" distL="114300" distR="114300" simplePos="0" relativeHeight="251661312" behindDoc="1" locked="0" layoutInCell="1" allowOverlap="1" wp14:anchorId="73E1AF8A" wp14:editId="2804DAA5">
            <wp:simplePos x="0" y="0"/>
            <wp:positionH relativeFrom="column">
              <wp:posOffset>-114663</wp:posOffset>
            </wp:positionH>
            <wp:positionV relativeFrom="paragraph">
              <wp:posOffset>76200</wp:posOffset>
            </wp:positionV>
            <wp:extent cx="881380" cy="1865630"/>
            <wp:effectExtent l="0" t="0" r="0" b="1270"/>
            <wp:wrapTight wrapText="bothSides">
              <wp:wrapPolygon edited="0">
                <wp:start x="0" y="0"/>
                <wp:lineTo x="0" y="21394"/>
                <wp:lineTo x="21009" y="21394"/>
                <wp:lineTo x="210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1380" cy="1865630"/>
                    </a:xfrm>
                    <a:prstGeom prst="rect">
                      <a:avLst/>
                    </a:prstGeom>
                  </pic:spPr>
                </pic:pic>
              </a:graphicData>
            </a:graphic>
          </wp:anchor>
        </w:drawing>
      </w:r>
      <w:r w:rsidR="000E26C1" w:rsidRPr="000707AE">
        <w:rPr>
          <w:rFonts w:asciiTheme="majorHAnsi" w:hAnsiTheme="majorHAnsi" w:cstheme="majorHAnsi"/>
          <w:b/>
          <w:sz w:val="20"/>
          <w:szCs w:val="20"/>
        </w:rPr>
        <w:t xml:space="preserve">Bronze Hercules, 1850 </w:t>
      </w:r>
    </w:p>
    <w:p w:rsidR="00311CFD" w:rsidRPr="000707AE" w:rsidRDefault="00335155" w:rsidP="00335155">
      <w:pPr>
        <w:spacing w:after="0"/>
        <w:rPr>
          <w:rFonts w:asciiTheme="majorHAnsi" w:hAnsiTheme="majorHAnsi" w:cstheme="majorHAnsi"/>
          <w:b/>
          <w:sz w:val="20"/>
          <w:szCs w:val="20"/>
        </w:rPr>
      </w:pPr>
      <w:r w:rsidRPr="000707AE">
        <w:rPr>
          <w:rFonts w:asciiTheme="majorHAnsi" w:hAnsiTheme="majorHAnsi" w:cstheme="majorHAnsi"/>
          <w:b/>
          <w:sz w:val="20"/>
          <w:szCs w:val="20"/>
        </w:rPr>
        <w:t xml:space="preserve">Maker Unknown </w:t>
      </w:r>
    </w:p>
    <w:p w:rsidR="000707AE" w:rsidRDefault="00335155" w:rsidP="000707AE">
      <w:pPr>
        <w:spacing w:after="0"/>
        <w:rPr>
          <w:rFonts w:asciiTheme="majorHAnsi" w:hAnsiTheme="majorHAnsi" w:cstheme="majorHAnsi"/>
          <w:b/>
          <w:sz w:val="20"/>
          <w:szCs w:val="20"/>
        </w:rPr>
      </w:pPr>
      <w:r w:rsidRPr="000707AE">
        <w:rPr>
          <w:rFonts w:asciiTheme="majorHAnsi" w:hAnsiTheme="majorHAnsi" w:cstheme="majorHAnsi"/>
          <w:b/>
          <w:sz w:val="20"/>
          <w:szCs w:val="20"/>
        </w:rPr>
        <w:t xml:space="preserve">Bronze </w:t>
      </w:r>
    </w:p>
    <w:p w:rsidR="000707AE" w:rsidRPr="000707AE" w:rsidRDefault="000707AE" w:rsidP="000707AE">
      <w:pPr>
        <w:spacing w:after="0"/>
        <w:rPr>
          <w:rFonts w:asciiTheme="majorHAnsi" w:hAnsiTheme="majorHAnsi" w:cstheme="majorHAnsi"/>
          <w:sz w:val="20"/>
          <w:szCs w:val="20"/>
        </w:rPr>
      </w:pPr>
      <w:r w:rsidRPr="000707AE">
        <w:rPr>
          <w:rFonts w:asciiTheme="majorHAnsi" w:hAnsiTheme="majorHAnsi" w:cstheme="majorHAnsi"/>
          <w:b/>
          <w:sz w:val="20"/>
          <w:szCs w:val="20"/>
        </w:rPr>
        <w:t>M.243</w:t>
      </w:r>
    </w:p>
    <w:p w:rsidR="00311CFD" w:rsidRPr="00484354" w:rsidRDefault="00484354" w:rsidP="00311CFD">
      <w:pPr>
        <w:spacing w:before="100" w:beforeAutospacing="1" w:after="100" w:afterAutospacing="1" w:line="240" w:lineRule="auto"/>
        <w:rPr>
          <w:rFonts w:asciiTheme="majorHAnsi" w:eastAsia="Times New Roman" w:hAnsiTheme="majorHAnsi" w:cstheme="majorHAnsi"/>
          <w:sz w:val="20"/>
          <w:szCs w:val="20"/>
          <w:lang w:eastAsia="en-GB"/>
        </w:rPr>
      </w:pPr>
      <w:r w:rsidRPr="000707AE">
        <w:rPr>
          <w:rFonts w:asciiTheme="majorHAnsi" w:eastAsia="Times New Roman" w:hAnsiTheme="majorHAnsi" w:cstheme="majorHAnsi"/>
          <w:sz w:val="20"/>
          <w:szCs w:val="20"/>
          <w:lang w:eastAsia="en-GB"/>
        </w:rPr>
        <w:t>In Ancient Greece</w:t>
      </w:r>
      <w:r w:rsidRPr="00484354">
        <w:rPr>
          <w:rFonts w:asciiTheme="majorHAnsi" w:eastAsia="Times New Roman" w:hAnsiTheme="majorHAnsi" w:cstheme="majorHAnsi"/>
          <w:sz w:val="20"/>
          <w:szCs w:val="20"/>
          <w:lang w:eastAsia="en-GB"/>
        </w:rPr>
        <w:t xml:space="preserve">, gender, sexuality, and relationships were </w:t>
      </w:r>
      <w:r>
        <w:rPr>
          <w:rFonts w:asciiTheme="majorHAnsi" w:eastAsia="Times New Roman" w:hAnsiTheme="majorHAnsi" w:cstheme="majorHAnsi"/>
          <w:sz w:val="20"/>
          <w:szCs w:val="20"/>
          <w:lang w:eastAsia="en-GB"/>
        </w:rPr>
        <w:t xml:space="preserve">often </w:t>
      </w:r>
      <w:r w:rsidRPr="00484354">
        <w:rPr>
          <w:rFonts w:asciiTheme="majorHAnsi" w:eastAsia="Times New Roman" w:hAnsiTheme="majorHAnsi" w:cstheme="majorHAnsi"/>
          <w:sz w:val="20"/>
          <w:szCs w:val="20"/>
          <w:lang w:eastAsia="en-GB"/>
        </w:rPr>
        <w:t>understood in ways that challenge contemporary binary perspectives.</w:t>
      </w:r>
      <w:r>
        <w:rPr>
          <w:rFonts w:asciiTheme="majorHAnsi" w:eastAsia="Times New Roman" w:hAnsiTheme="majorHAnsi" w:cstheme="majorHAnsi"/>
          <w:sz w:val="20"/>
          <w:szCs w:val="20"/>
          <w:lang w:eastAsia="en-GB"/>
        </w:rPr>
        <w:t xml:space="preserve"> </w:t>
      </w:r>
      <w:r w:rsidR="00311CFD" w:rsidRPr="00484354">
        <w:rPr>
          <w:rFonts w:asciiTheme="majorHAnsi" w:eastAsia="Times New Roman" w:hAnsiTheme="majorHAnsi" w:cstheme="majorHAnsi"/>
          <w:sz w:val="20"/>
          <w:szCs w:val="20"/>
          <w:lang w:eastAsia="en-GB"/>
        </w:rPr>
        <w:t xml:space="preserve">Herakles (or Hercules in Roman mythology) has long been celebrated as the ultimate symbol of masculinity. Yet, his story is far more complex than modern interpretations suggest. </w:t>
      </w:r>
    </w:p>
    <w:p w:rsidR="00311CFD" w:rsidRPr="00484354" w:rsidRDefault="00311CFD" w:rsidP="00311CFD">
      <w:pPr>
        <w:spacing w:before="100" w:beforeAutospacing="1" w:after="100" w:afterAutospacing="1" w:line="240" w:lineRule="auto"/>
        <w:rPr>
          <w:rFonts w:asciiTheme="majorHAnsi" w:eastAsia="Times New Roman" w:hAnsiTheme="majorHAnsi" w:cstheme="majorHAnsi"/>
          <w:sz w:val="20"/>
          <w:szCs w:val="20"/>
          <w:lang w:eastAsia="en-GB"/>
        </w:rPr>
      </w:pPr>
      <w:r w:rsidRPr="00484354">
        <w:rPr>
          <w:rFonts w:asciiTheme="majorHAnsi" w:eastAsia="Times New Roman" w:hAnsiTheme="majorHAnsi" w:cstheme="majorHAnsi"/>
          <w:sz w:val="20"/>
          <w:szCs w:val="20"/>
          <w:lang w:eastAsia="en-GB"/>
        </w:rPr>
        <w:t>Alongside his man</w:t>
      </w:r>
      <w:r w:rsidR="00484354">
        <w:rPr>
          <w:rFonts w:asciiTheme="majorHAnsi" w:eastAsia="Times New Roman" w:hAnsiTheme="majorHAnsi" w:cstheme="majorHAnsi"/>
          <w:sz w:val="20"/>
          <w:szCs w:val="20"/>
          <w:lang w:eastAsia="en-GB"/>
        </w:rPr>
        <w:t>y female lovers and wives, Herac</w:t>
      </w:r>
      <w:r w:rsidRPr="00484354">
        <w:rPr>
          <w:rFonts w:asciiTheme="majorHAnsi" w:eastAsia="Times New Roman" w:hAnsiTheme="majorHAnsi" w:cstheme="majorHAnsi"/>
          <w:sz w:val="20"/>
          <w:szCs w:val="20"/>
          <w:lang w:eastAsia="en-GB"/>
        </w:rPr>
        <w:t>les had numerous male companions</w:t>
      </w:r>
      <w:r w:rsidR="00484354">
        <w:rPr>
          <w:rFonts w:asciiTheme="majorHAnsi" w:eastAsia="Times New Roman" w:hAnsiTheme="majorHAnsi" w:cstheme="majorHAnsi"/>
          <w:sz w:val="20"/>
          <w:szCs w:val="20"/>
          <w:lang w:eastAsia="en-GB"/>
        </w:rPr>
        <w:t xml:space="preserve"> with whom he was deeply intimate with</w:t>
      </w:r>
      <w:r w:rsidRPr="00484354">
        <w:rPr>
          <w:rFonts w:asciiTheme="majorHAnsi" w:eastAsia="Times New Roman" w:hAnsiTheme="majorHAnsi" w:cstheme="majorHAnsi"/>
          <w:sz w:val="20"/>
          <w:szCs w:val="20"/>
          <w:lang w:eastAsia="en-GB"/>
        </w:rPr>
        <w:t xml:space="preserve">. </w:t>
      </w:r>
      <w:proofErr w:type="spellStart"/>
      <w:r w:rsidR="00A50EE7">
        <w:rPr>
          <w:rFonts w:asciiTheme="majorHAnsi" w:eastAsia="Times New Roman" w:hAnsiTheme="majorHAnsi" w:cstheme="majorHAnsi"/>
          <w:sz w:val="20"/>
          <w:szCs w:val="20"/>
          <w:lang w:eastAsia="en-GB"/>
        </w:rPr>
        <w:t>Hylas</w:t>
      </w:r>
      <w:proofErr w:type="spellEnd"/>
      <w:r w:rsidR="00A50EE7">
        <w:rPr>
          <w:rFonts w:asciiTheme="majorHAnsi" w:eastAsia="Times New Roman" w:hAnsiTheme="majorHAnsi" w:cstheme="majorHAnsi"/>
          <w:sz w:val="20"/>
          <w:szCs w:val="20"/>
          <w:lang w:eastAsia="en-GB"/>
        </w:rPr>
        <w:t>, for example, joined Herac</w:t>
      </w:r>
      <w:r w:rsidRPr="00484354">
        <w:rPr>
          <w:rFonts w:asciiTheme="majorHAnsi" w:eastAsia="Times New Roman" w:hAnsiTheme="majorHAnsi" w:cstheme="majorHAnsi"/>
          <w:sz w:val="20"/>
          <w:szCs w:val="20"/>
          <w:lang w:eastAsia="en-GB"/>
        </w:rPr>
        <w:t xml:space="preserve">les on his journey with Jason and the Argonauts in search of the Golden Fleece. </w:t>
      </w:r>
      <w:proofErr w:type="spellStart"/>
      <w:r w:rsidRPr="00484354">
        <w:rPr>
          <w:rFonts w:asciiTheme="majorHAnsi" w:eastAsia="Times New Roman" w:hAnsiTheme="majorHAnsi" w:cstheme="majorHAnsi"/>
          <w:sz w:val="20"/>
          <w:szCs w:val="20"/>
          <w:lang w:eastAsia="en-GB"/>
        </w:rPr>
        <w:t>Lolaus</w:t>
      </w:r>
      <w:proofErr w:type="spellEnd"/>
      <w:r w:rsidRPr="00484354">
        <w:rPr>
          <w:rFonts w:asciiTheme="majorHAnsi" w:eastAsia="Times New Roman" w:hAnsiTheme="majorHAnsi" w:cstheme="majorHAnsi"/>
          <w:sz w:val="20"/>
          <w:szCs w:val="20"/>
          <w:lang w:eastAsia="en-GB"/>
        </w:rPr>
        <w:t>, his charioteer, played a crucial role in the battle against the Hydra, searing its wounds after Herakles severed its heads. Their bond</w:t>
      </w:r>
      <w:r w:rsidR="00A50EE7">
        <w:rPr>
          <w:rFonts w:asciiTheme="majorHAnsi" w:eastAsia="Times New Roman" w:hAnsiTheme="majorHAnsi" w:cstheme="majorHAnsi"/>
          <w:sz w:val="20"/>
          <w:szCs w:val="20"/>
          <w:lang w:eastAsia="en-GB"/>
        </w:rPr>
        <w:t xml:space="preserve"> was so celebrated</w:t>
      </w:r>
      <w:r w:rsidRPr="00484354">
        <w:rPr>
          <w:rFonts w:asciiTheme="majorHAnsi" w:eastAsia="Times New Roman" w:hAnsiTheme="majorHAnsi" w:cstheme="majorHAnsi"/>
          <w:sz w:val="20"/>
          <w:szCs w:val="20"/>
          <w:lang w:eastAsia="en-GB"/>
        </w:rPr>
        <w:t xml:space="preserve"> that </w:t>
      </w:r>
      <w:proofErr w:type="spellStart"/>
      <w:r w:rsidRPr="00484354">
        <w:rPr>
          <w:rFonts w:asciiTheme="majorHAnsi" w:eastAsia="Times New Roman" w:hAnsiTheme="majorHAnsi" w:cstheme="majorHAnsi"/>
          <w:sz w:val="20"/>
          <w:szCs w:val="20"/>
          <w:lang w:eastAsia="en-GB"/>
        </w:rPr>
        <w:t>Lolaus</w:t>
      </w:r>
      <w:proofErr w:type="spellEnd"/>
      <w:r w:rsidRPr="00484354">
        <w:rPr>
          <w:rFonts w:asciiTheme="majorHAnsi" w:eastAsia="Times New Roman" w:hAnsiTheme="majorHAnsi" w:cstheme="majorHAnsi"/>
          <w:sz w:val="20"/>
          <w:szCs w:val="20"/>
          <w:lang w:eastAsia="en-GB"/>
        </w:rPr>
        <w:t>' tomb in Thebes became a site where male couples would exchange vows, pledgin</w:t>
      </w:r>
      <w:r w:rsidR="00A50EE7">
        <w:rPr>
          <w:rFonts w:asciiTheme="majorHAnsi" w:eastAsia="Times New Roman" w:hAnsiTheme="majorHAnsi" w:cstheme="majorHAnsi"/>
          <w:sz w:val="20"/>
          <w:szCs w:val="20"/>
          <w:lang w:eastAsia="en-GB"/>
        </w:rPr>
        <w:t>g their devotion to one another in the Greco-Roman time.</w:t>
      </w:r>
    </w:p>
    <w:p w:rsidR="00311CFD" w:rsidRPr="00484354" w:rsidRDefault="00484354" w:rsidP="00311CFD">
      <w:pPr>
        <w:spacing w:before="100" w:beforeAutospacing="1" w:after="100" w:afterAutospacing="1" w:line="240" w:lineRule="auto"/>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For the Ancient Greeks, </w:t>
      </w:r>
      <w:r w:rsidR="00311CFD" w:rsidRPr="00484354">
        <w:rPr>
          <w:rFonts w:asciiTheme="majorHAnsi" w:eastAsia="Times New Roman" w:hAnsiTheme="majorHAnsi" w:cstheme="majorHAnsi"/>
          <w:sz w:val="20"/>
          <w:szCs w:val="20"/>
          <w:lang w:eastAsia="en-GB"/>
        </w:rPr>
        <w:t>sexuali</w:t>
      </w:r>
      <w:r>
        <w:rPr>
          <w:rFonts w:asciiTheme="majorHAnsi" w:eastAsia="Times New Roman" w:hAnsiTheme="majorHAnsi" w:cstheme="majorHAnsi"/>
          <w:sz w:val="20"/>
          <w:szCs w:val="20"/>
          <w:lang w:eastAsia="en-GB"/>
        </w:rPr>
        <w:t>ty as fixed identity did not exist, and it is hard for us to comprehend that there was no such word that specifically meant same sex love.</w:t>
      </w:r>
      <w:r w:rsidR="00311CFD" w:rsidRPr="00484354">
        <w:rPr>
          <w:rFonts w:asciiTheme="majorHAnsi" w:eastAsia="Times New Roman" w:hAnsiTheme="majorHAnsi" w:cstheme="majorHAnsi"/>
          <w:sz w:val="20"/>
          <w:szCs w:val="20"/>
          <w:lang w:eastAsia="en-GB"/>
        </w:rPr>
        <w:t xml:space="preserve"> Instead, sexual relationships were structured around power dynamics—dominance and submission—rather than gender</w:t>
      </w:r>
      <w:r w:rsidR="00A50EE7">
        <w:rPr>
          <w:rFonts w:asciiTheme="majorHAnsi" w:eastAsia="Times New Roman" w:hAnsiTheme="majorHAnsi" w:cstheme="majorHAnsi"/>
          <w:sz w:val="20"/>
          <w:szCs w:val="20"/>
          <w:lang w:eastAsia="en-GB"/>
        </w:rPr>
        <w:t xml:space="preserve"> or preference</w:t>
      </w:r>
      <w:r w:rsidR="00311CFD" w:rsidRPr="00484354">
        <w:rPr>
          <w:rFonts w:asciiTheme="majorHAnsi" w:eastAsia="Times New Roman" w:hAnsiTheme="majorHAnsi" w:cstheme="majorHAnsi"/>
          <w:sz w:val="20"/>
          <w:szCs w:val="20"/>
          <w:lang w:eastAsia="en-GB"/>
        </w:rPr>
        <w:t xml:space="preserve">. High-status men engaged in relationships with adolescent youths of the same class, as women were largely excluded from intellectual and social spheres. A boy was not considered a man until he could grow a full beard. Until then, he occupied the role of an </w:t>
      </w:r>
      <w:proofErr w:type="spellStart"/>
      <w:r w:rsidR="00311CFD" w:rsidRPr="00484354">
        <w:rPr>
          <w:rFonts w:asciiTheme="majorHAnsi" w:eastAsia="Times New Roman" w:hAnsiTheme="majorHAnsi" w:cstheme="majorHAnsi"/>
          <w:b/>
          <w:bCs/>
          <w:sz w:val="20"/>
          <w:szCs w:val="20"/>
          <w:lang w:eastAsia="en-GB"/>
        </w:rPr>
        <w:t>eromenos</w:t>
      </w:r>
      <w:proofErr w:type="spellEnd"/>
      <w:r w:rsidR="00311CFD" w:rsidRPr="00484354">
        <w:rPr>
          <w:rFonts w:asciiTheme="majorHAnsi" w:eastAsia="Times New Roman" w:hAnsiTheme="majorHAnsi" w:cstheme="majorHAnsi"/>
          <w:sz w:val="20"/>
          <w:szCs w:val="20"/>
          <w:lang w:eastAsia="en-GB"/>
        </w:rPr>
        <w:t xml:space="preserve"> (beloved), guided and mentored by an </w:t>
      </w:r>
      <w:proofErr w:type="spellStart"/>
      <w:r w:rsidR="00311CFD" w:rsidRPr="00484354">
        <w:rPr>
          <w:rFonts w:asciiTheme="majorHAnsi" w:eastAsia="Times New Roman" w:hAnsiTheme="majorHAnsi" w:cstheme="majorHAnsi"/>
          <w:b/>
          <w:bCs/>
          <w:sz w:val="20"/>
          <w:szCs w:val="20"/>
          <w:lang w:eastAsia="en-GB"/>
        </w:rPr>
        <w:t>erastes</w:t>
      </w:r>
      <w:proofErr w:type="spellEnd"/>
      <w:r w:rsidR="00311CFD" w:rsidRPr="00484354">
        <w:rPr>
          <w:rFonts w:asciiTheme="majorHAnsi" w:eastAsia="Times New Roman" w:hAnsiTheme="majorHAnsi" w:cstheme="majorHAnsi"/>
          <w:sz w:val="20"/>
          <w:szCs w:val="20"/>
          <w:lang w:eastAsia="en-GB"/>
        </w:rPr>
        <w:t xml:space="preserve"> (lover), an older man responsible for his education, protection, and preparation for adulthood.</w:t>
      </w:r>
    </w:p>
    <w:p w:rsidR="000707AE" w:rsidRDefault="00311CFD" w:rsidP="00311CFD">
      <w:pPr>
        <w:spacing w:before="100" w:beforeAutospacing="1" w:after="100" w:afterAutospacing="1" w:line="240" w:lineRule="auto"/>
        <w:rPr>
          <w:rFonts w:asciiTheme="majorHAnsi" w:eastAsia="Times New Roman" w:hAnsiTheme="majorHAnsi" w:cstheme="majorHAnsi"/>
          <w:sz w:val="20"/>
          <w:szCs w:val="20"/>
          <w:lang w:eastAsia="en-GB"/>
        </w:rPr>
      </w:pPr>
      <w:r w:rsidRPr="00484354">
        <w:rPr>
          <w:rFonts w:asciiTheme="majorHAnsi" w:eastAsia="Times New Roman" w:hAnsiTheme="majorHAnsi" w:cstheme="majorHAnsi"/>
          <w:sz w:val="20"/>
          <w:szCs w:val="20"/>
          <w:lang w:eastAsia="en-GB"/>
        </w:rPr>
        <w:t xml:space="preserve">These relationships were seen as essential to a young man’s development, shaping him into a future citizen, warrior, and leader. Through them, knowledge, status, and power were passed down. While modern interpretations may impose rigid ideas of sexuality and masculinity onto these myths, the reality of Ancient Greek relationships reveals a world of fluidity, mentorship, and </w:t>
      </w:r>
      <w:r w:rsidRPr="000707AE">
        <w:rPr>
          <w:rFonts w:asciiTheme="majorHAnsi" w:eastAsia="Times New Roman" w:hAnsiTheme="majorHAnsi" w:cstheme="majorHAnsi"/>
          <w:sz w:val="20"/>
          <w:szCs w:val="20"/>
          <w:lang w:eastAsia="en-GB"/>
        </w:rPr>
        <w:t xml:space="preserve">connection that resists simple </w:t>
      </w:r>
      <w:r w:rsidR="00A50EE7" w:rsidRPr="000707AE">
        <w:rPr>
          <w:rFonts w:asciiTheme="majorHAnsi" w:eastAsia="Times New Roman" w:hAnsiTheme="majorHAnsi" w:cstheme="majorHAnsi"/>
          <w:sz w:val="20"/>
          <w:szCs w:val="20"/>
          <w:lang w:eastAsia="en-GB"/>
        </w:rPr>
        <w:t>classification as we know it now</w:t>
      </w:r>
      <w:r w:rsidRPr="000707AE">
        <w:rPr>
          <w:rFonts w:asciiTheme="majorHAnsi" w:eastAsia="Times New Roman" w:hAnsiTheme="majorHAnsi" w:cstheme="majorHAnsi"/>
          <w:sz w:val="20"/>
          <w:szCs w:val="20"/>
          <w:lang w:eastAsia="en-GB"/>
        </w:rPr>
        <w:t>.</w:t>
      </w:r>
    </w:p>
    <w:p w:rsidR="000707AE" w:rsidRPr="000707AE" w:rsidRDefault="000707AE" w:rsidP="00311CFD">
      <w:pPr>
        <w:spacing w:before="100" w:beforeAutospacing="1" w:after="100" w:afterAutospacing="1" w:line="240" w:lineRule="auto"/>
        <w:rPr>
          <w:rFonts w:asciiTheme="majorHAnsi" w:eastAsia="Times New Roman" w:hAnsiTheme="majorHAnsi" w:cstheme="majorHAnsi"/>
          <w:sz w:val="20"/>
          <w:szCs w:val="20"/>
          <w:lang w:eastAsia="en-GB"/>
        </w:rPr>
      </w:pPr>
    </w:p>
    <w:p w:rsidR="00335155" w:rsidRPr="000707AE" w:rsidRDefault="000707AE" w:rsidP="00335155">
      <w:pPr>
        <w:spacing w:after="0"/>
        <w:rPr>
          <w:rFonts w:asciiTheme="majorHAnsi" w:hAnsiTheme="majorHAnsi" w:cstheme="majorHAnsi"/>
          <w:b/>
          <w:sz w:val="20"/>
          <w:szCs w:val="20"/>
        </w:rPr>
      </w:pPr>
      <w:r w:rsidRPr="000707AE">
        <w:rPr>
          <w:rFonts w:asciiTheme="majorHAnsi" w:hAnsiTheme="majorHAnsi" w:cstheme="majorHAnsi"/>
          <w:b/>
          <w:sz w:val="20"/>
          <w:szCs w:val="20"/>
        </w:rPr>
        <w:drawing>
          <wp:anchor distT="0" distB="0" distL="114300" distR="114300" simplePos="0" relativeHeight="251658240" behindDoc="1" locked="0" layoutInCell="1" allowOverlap="1" wp14:anchorId="048CCD96" wp14:editId="75BEA557">
            <wp:simplePos x="0" y="0"/>
            <wp:positionH relativeFrom="margin">
              <wp:align>left</wp:align>
            </wp:positionH>
            <wp:positionV relativeFrom="paragraph">
              <wp:posOffset>72571</wp:posOffset>
            </wp:positionV>
            <wp:extent cx="885825" cy="1752600"/>
            <wp:effectExtent l="0" t="0" r="9525" b="0"/>
            <wp:wrapTight wrapText="bothSides">
              <wp:wrapPolygon edited="0">
                <wp:start x="0" y="0"/>
                <wp:lineTo x="0" y="21365"/>
                <wp:lineTo x="21368" y="213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1752600"/>
                    </a:xfrm>
                    <a:prstGeom prst="rect">
                      <a:avLst/>
                    </a:prstGeom>
                  </pic:spPr>
                </pic:pic>
              </a:graphicData>
            </a:graphic>
          </wp:anchor>
        </w:drawing>
      </w:r>
      <w:r w:rsidR="000E26C1" w:rsidRPr="000707AE">
        <w:rPr>
          <w:rFonts w:asciiTheme="majorHAnsi" w:hAnsiTheme="majorHAnsi" w:cstheme="majorHAnsi"/>
          <w:b/>
          <w:sz w:val="20"/>
          <w:szCs w:val="20"/>
        </w:rPr>
        <w:t>Th</w:t>
      </w:r>
      <w:r w:rsidR="00335155" w:rsidRPr="000707AE">
        <w:rPr>
          <w:rFonts w:asciiTheme="majorHAnsi" w:hAnsiTheme="majorHAnsi" w:cstheme="majorHAnsi"/>
          <w:b/>
          <w:sz w:val="20"/>
          <w:szCs w:val="20"/>
        </w:rPr>
        <w:t>e Winged Victory of Samothrace, 1863</w:t>
      </w:r>
      <w:r w:rsidRPr="000707AE">
        <w:rPr>
          <w:noProof/>
          <w:lang w:eastAsia="en-GB"/>
        </w:rPr>
        <w:t xml:space="preserve"> </w:t>
      </w:r>
    </w:p>
    <w:p w:rsidR="00335155" w:rsidRPr="000707AE" w:rsidRDefault="00335155" w:rsidP="00335155">
      <w:pPr>
        <w:spacing w:after="0"/>
        <w:rPr>
          <w:rFonts w:asciiTheme="majorHAnsi" w:hAnsiTheme="majorHAnsi" w:cstheme="majorHAnsi"/>
          <w:b/>
          <w:sz w:val="20"/>
          <w:szCs w:val="20"/>
        </w:rPr>
      </w:pPr>
      <w:r w:rsidRPr="000707AE">
        <w:rPr>
          <w:rFonts w:asciiTheme="majorHAnsi" w:hAnsiTheme="majorHAnsi" w:cstheme="majorHAnsi"/>
          <w:b/>
          <w:sz w:val="20"/>
          <w:szCs w:val="20"/>
        </w:rPr>
        <w:t xml:space="preserve">Maker Unknown </w:t>
      </w:r>
    </w:p>
    <w:p w:rsidR="00335155" w:rsidRDefault="00335155" w:rsidP="00335155">
      <w:pPr>
        <w:spacing w:after="0"/>
        <w:rPr>
          <w:rFonts w:asciiTheme="majorHAnsi" w:hAnsiTheme="majorHAnsi" w:cstheme="majorHAnsi"/>
          <w:b/>
          <w:sz w:val="20"/>
          <w:szCs w:val="20"/>
        </w:rPr>
      </w:pPr>
      <w:r w:rsidRPr="000707AE">
        <w:rPr>
          <w:rFonts w:asciiTheme="majorHAnsi" w:hAnsiTheme="majorHAnsi" w:cstheme="majorHAnsi"/>
          <w:b/>
          <w:sz w:val="20"/>
          <w:szCs w:val="20"/>
        </w:rPr>
        <w:t xml:space="preserve">Marble </w:t>
      </w:r>
    </w:p>
    <w:p w:rsidR="000707AE" w:rsidRDefault="000707AE" w:rsidP="000707AE">
      <w:pPr>
        <w:rPr>
          <w:rFonts w:asciiTheme="majorHAnsi" w:hAnsiTheme="majorHAnsi" w:cstheme="majorHAnsi"/>
          <w:b/>
          <w:sz w:val="20"/>
          <w:szCs w:val="20"/>
        </w:rPr>
      </w:pPr>
      <w:r w:rsidRPr="000707AE">
        <w:rPr>
          <w:rFonts w:asciiTheme="majorHAnsi" w:hAnsiTheme="majorHAnsi" w:cstheme="majorHAnsi"/>
          <w:b/>
          <w:sz w:val="20"/>
          <w:szCs w:val="20"/>
        </w:rPr>
        <w:t xml:space="preserve">B.M S.125 </w:t>
      </w:r>
    </w:p>
    <w:p w:rsidR="000707AE" w:rsidRPr="000707AE" w:rsidRDefault="000707AE" w:rsidP="000707AE">
      <w:pPr>
        <w:rPr>
          <w:rFonts w:asciiTheme="majorHAnsi" w:hAnsiTheme="majorHAnsi" w:cstheme="majorHAnsi"/>
          <w:b/>
          <w:sz w:val="20"/>
          <w:szCs w:val="20"/>
        </w:rPr>
      </w:pPr>
    </w:p>
    <w:p w:rsidR="009D0B06" w:rsidRPr="009D0B06" w:rsidRDefault="009D0B06" w:rsidP="009D0B06">
      <w:pPr>
        <w:pStyle w:val="NormalWeb"/>
        <w:rPr>
          <w:rFonts w:asciiTheme="majorHAnsi" w:hAnsiTheme="majorHAnsi" w:cstheme="majorHAnsi"/>
          <w:sz w:val="20"/>
          <w:szCs w:val="20"/>
        </w:rPr>
      </w:pPr>
      <w:r w:rsidRPr="009D0B06">
        <w:rPr>
          <w:rFonts w:asciiTheme="majorHAnsi" w:hAnsiTheme="majorHAnsi" w:cstheme="majorHAnsi"/>
          <w:sz w:val="20"/>
          <w:szCs w:val="20"/>
        </w:rPr>
        <w:t xml:space="preserve">The Winged Victory of Samothrace, also known as the Nike of Samothrace was discovered in April 1863 on the island of Samothrace by the French consul and amateur archaeologist Charles </w:t>
      </w:r>
      <w:proofErr w:type="spellStart"/>
      <w:r w:rsidRPr="009D0B06">
        <w:rPr>
          <w:rFonts w:asciiTheme="majorHAnsi" w:hAnsiTheme="majorHAnsi" w:cstheme="majorHAnsi"/>
          <w:sz w:val="20"/>
          <w:szCs w:val="20"/>
        </w:rPr>
        <w:t>Champoiseau</w:t>
      </w:r>
      <w:proofErr w:type="spellEnd"/>
      <w:r w:rsidRPr="009D0B06">
        <w:rPr>
          <w:rFonts w:asciiTheme="majorHAnsi" w:hAnsiTheme="majorHAnsi" w:cstheme="majorHAnsi"/>
          <w:sz w:val="20"/>
          <w:szCs w:val="20"/>
        </w:rPr>
        <w:t xml:space="preserve">. The original statue is thought to have been created between 100 and 300 BC to honour Nike, goddess of victory and messenger of Zeus and Athena. It is considered to be one of the finest examples of Hellenistic period sculptures. </w:t>
      </w:r>
    </w:p>
    <w:p w:rsidR="009D0B06" w:rsidRDefault="009D0B06" w:rsidP="009D0B06">
      <w:pPr>
        <w:pStyle w:val="NormalWeb"/>
        <w:rPr>
          <w:rFonts w:asciiTheme="majorHAnsi" w:hAnsiTheme="majorHAnsi" w:cstheme="majorHAnsi"/>
          <w:sz w:val="20"/>
          <w:szCs w:val="20"/>
        </w:rPr>
      </w:pPr>
      <w:r w:rsidRPr="009D0B06">
        <w:rPr>
          <w:rFonts w:asciiTheme="majorHAnsi" w:hAnsiTheme="majorHAnsi" w:cstheme="majorHAnsi"/>
          <w:sz w:val="20"/>
          <w:szCs w:val="20"/>
        </w:rPr>
        <w:t>The goddess is depicted descending from the skies, the supple body and wide, extended wings vibrate with the movement of flight. The statue was sent to Paris in 1863, and since 1884 has dominated the Daru staircase in the Louvre, while a plaster replica stands in the museum at the original location of the Sanctuary of the Great Gods on Samothrace.</w:t>
      </w:r>
    </w:p>
    <w:p w:rsidR="00EF6A23" w:rsidRPr="00484354" w:rsidRDefault="009D0B06" w:rsidP="009D0B06">
      <w:pPr>
        <w:pStyle w:val="NormalWeb"/>
        <w:rPr>
          <w:rFonts w:asciiTheme="majorHAnsi" w:hAnsiTheme="majorHAnsi" w:cstheme="majorHAnsi"/>
          <w:sz w:val="20"/>
          <w:szCs w:val="20"/>
        </w:rPr>
      </w:pPr>
      <w:r>
        <w:rPr>
          <w:rFonts w:asciiTheme="majorHAnsi" w:hAnsiTheme="majorHAnsi" w:cstheme="majorHAnsi"/>
          <w:sz w:val="20"/>
          <w:szCs w:val="20"/>
        </w:rPr>
        <w:t>It is</w:t>
      </w:r>
      <w:r w:rsidR="00EF6A23" w:rsidRPr="00484354">
        <w:rPr>
          <w:rFonts w:asciiTheme="majorHAnsi" w:hAnsiTheme="majorHAnsi" w:cstheme="majorHAnsi"/>
          <w:sz w:val="20"/>
          <w:szCs w:val="20"/>
        </w:rPr>
        <w:t xml:space="preserve"> a masterpiece of Hellenistic art, embodies movement, triumph, and divine </w:t>
      </w:r>
      <w:r w:rsidR="001E527E" w:rsidRPr="00484354">
        <w:rPr>
          <w:rFonts w:asciiTheme="majorHAnsi" w:hAnsiTheme="majorHAnsi" w:cstheme="majorHAnsi"/>
          <w:sz w:val="20"/>
          <w:szCs w:val="20"/>
        </w:rPr>
        <w:t>favour</w:t>
      </w:r>
      <w:r w:rsidR="00EF6A23" w:rsidRPr="00484354">
        <w:rPr>
          <w:rFonts w:asciiTheme="majorHAnsi" w:hAnsiTheme="majorHAnsi" w:cstheme="majorHAnsi"/>
          <w:sz w:val="20"/>
          <w:szCs w:val="20"/>
        </w:rPr>
        <w:t>. As the winged personification of victory, Nike’s presence signified success in battle and competition. She was not only Zeus’s devoted ally but also played a role in one of mythology’s most famous homoerotic tales—the abduction of Ganymede.</w:t>
      </w:r>
    </w:p>
    <w:p w:rsidR="001E527E" w:rsidRPr="00484354" w:rsidRDefault="00EF6A23" w:rsidP="00EF6A23">
      <w:pPr>
        <w:pStyle w:val="NormalWeb"/>
        <w:rPr>
          <w:rFonts w:asciiTheme="majorHAnsi" w:hAnsiTheme="majorHAnsi" w:cstheme="majorHAnsi"/>
          <w:sz w:val="20"/>
          <w:szCs w:val="20"/>
        </w:rPr>
      </w:pPr>
      <w:r w:rsidRPr="00484354">
        <w:rPr>
          <w:rFonts w:asciiTheme="majorHAnsi" w:hAnsiTheme="majorHAnsi" w:cstheme="majorHAnsi"/>
          <w:sz w:val="20"/>
          <w:szCs w:val="20"/>
        </w:rPr>
        <w:t xml:space="preserve">In Greek myth, Ganymede, a mortal of unparalleled beauty, was taken to Olympus to become Zeus’s cupbearer—and, in later retellings, his lover. Nike, swift and unwavering, aided in his ascent, linking her image of victory to the divine sanctioning of queer love. Through her, triumph was not just military but personal, extending to those chosen by the gods for glory, </w:t>
      </w:r>
      <w:r w:rsidR="001E527E" w:rsidRPr="00484354">
        <w:rPr>
          <w:rFonts w:asciiTheme="majorHAnsi" w:hAnsiTheme="majorHAnsi" w:cstheme="majorHAnsi"/>
          <w:sz w:val="20"/>
          <w:szCs w:val="20"/>
        </w:rPr>
        <w:t>favour</w:t>
      </w:r>
      <w:r w:rsidRPr="00484354">
        <w:rPr>
          <w:rFonts w:asciiTheme="majorHAnsi" w:hAnsiTheme="majorHAnsi" w:cstheme="majorHAnsi"/>
          <w:sz w:val="20"/>
          <w:szCs w:val="20"/>
        </w:rPr>
        <w:t>, and affection.</w:t>
      </w:r>
    </w:p>
    <w:p w:rsidR="001E527E" w:rsidRPr="00484354" w:rsidRDefault="001E527E" w:rsidP="001E527E">
      <w:pPr>
        <w:pStyle w:val="NormalWeb"/>
        <w:rPr>
          <w:rFonts w:asciiTheme="majorHAnsi" w:hAnsiTheme="majorHAnsi" w:cstheme="majorHAnsi"/>
          <w:sz w:val="20"/>
          <w:szCs w:val="20"/>
        </w:rPr>
      </w:pPr>
      <w:r w:rsidRPr="00484354">
        <w:rPr>
          <w:rFonts w:asciiTheme="majorHAnsi" w:hAnsiTheme="majorHAnsi" w:cstheme="majorHAnsi"/>
          <w:sz w:val="20"/>
          <w:szCs w:val="20"/>
        </w:rPr>
        <w:t>Nike, as the embodiment of victory, represents more than just military success—she signifies triumph over all struggles, including deeply personal battles. In mythology, any association with Nike meant that a person or god was destined to win, reinforcing the idea that perseverance and resilience lead to triumph. For the queer community, this symbolism is powerful: the fight for identity, acceptance, and love is a battle in itself, and Nike’s presence affirms that victory is inevitable for those who stand firm in their truth.</w:t>
      </w:r>
    </w:p>
    <w:p w:rsidR="00335155" w:rsidRDefault="001E527E" w:rsidP="002B147E">
      <w:pPr>
        <w:pStyle w:val="NormalWeb"/>
        <w:rPr>
          <w:rFonts w:asciiTheme="majorHAnsi" w:hAnsiTheme="majorHAnsi" w:cstheme="majorHAnsi"/>
          <w:sz w:val="20"/>
          <w:szCs w:val="20"/>
        </w:rPr>
      </w:pPr>
      <w:r w:rsidRPr="00484354">
        <w:rPr>
          <w:rFonts w:asciiTheme="majorHAnsi" w:hAnsiTheme="majorHAnsi" w:cstheme="majorHAnsi"/>
          <w:sz w:val="20"/>
          <w:szCs w:val="20"/>
        </w:rPr>
        <w:t>Nike’s role in the myth of Ganymede, a story that evolved into one of divine queer love, further strengthens this connection. Just as Nike uplifted gods and mortals alike, her legacy can embolden LGBTQ+ individuals to embrace their journey with the confidence that they, too, are worthy of triumph. Victory, as Nike teaches, is not just about conquest—it is about claiming one’s rightful place in the world, unapologetically and with pride.</w:t>
      </w:r>
    </w:p>
    <w:p w:rsidR="000707AE" w:rsidRDefault="000707AE" w:rsidP="002B147E">
      <w:pPr>
        <w:pStyle w:val="NormalWeb"/>
        <w:rPr>
          <w:rFonts w:asciiTheme="majorHAnsi" w:hAnsiTheme="majorHAnsi" w:cstheme="majorHAnsi"/>
          <w:sz w:val="20"/>
          <w:szCs w:val="20"/>
        </w:rPr>
      </w:pPr>
    </w:p>
    <w:p w:rsidR="00852032" w:rsidRPr="00484354" w:rsidRDefault="000707AE" w:rsidP="00852032">
      <w:pPr>
        <w:spacing w:after="0" w:line="240" w:lineRule="auto"/>
        <w:rPr>
          <w:rFonts w:asciiTheme="majorHAnsi" w:eastAsia="Times New Roman" w:hAnsiTheme="majorHAnsi" w:cstheme="majorHAnsi"/>
          <w:sz w:val="20"/>
          <w:szCs w:val="20"/>
          <w:lang w:eastAsia="en-GB"/>
        </w:rPr>
      </w:pPr>
      <w:r w:rsidRPr="000707AE">
        <w:rPr>
          <w:rFonts w:asciiTheme="majorHAnsi" w:hAnsiTheme="majorHAnsi" w:cstheme="majorHAnsi"/>
          <w:b/>
          <w:sz w:val="20"/>
          <w:szCs w:val="20"/>
        </w:rPr>
        <w:drawing>
          <wp:anchor distT="0" distB="0" distL="114300" distR="114300" simplePos="0" relativeHeight="251660288" behindDoc="1" locked="0" layoutInCell="1" allowOverlap="1" wp14:anchorId="1734A7D8" wp14:editId="214504CE">
            <wp:simplePos x="0" y="0"/>
            <wp:positionH relativeFrom="margin">
              <wp:align>left</wp:align>
            </wp:positionH>
            <wp:positionV relativeFrom="paragraph">
              <wp:posOffset>1905</wp:posOffset>
            </wp:positionV>
            <wp:extent cx="1120775" cy="1064260"/>
            <wp:effectExtent l="0" t="0" r="3175" b="2540"/>
            <wp:wrapTight wrapText="bothSides">
              <wp:wrapPolygon edited="0">
                <wp:start x="0" y="0"/>
                <wp:lineTo x="0" y="21265"/>
                <wp:lineTo x="21294" y="21265"/>
                <wp:lineTo x="212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3022"/>
                    <a:stretch/>
                  </pic:blipFill>
                  <pic:spPr bwMode="auto">
                    <a:xfrm>
                      <a:off x="0" y="0"/>
                      <a:ext cx="1120775" cy="1064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35155" w:rsidRDefault="00852032" w:rsidP="00335155">
      <w:pPr>
        <w:spacing w:after="0" w:line="240" w:lineRule="auto"/>
        <w:rPr>
          <w:rFonts w:asciiTheme="majorHAnsi" w:eastAsia="Times New Roman" w:hAnsiTheme="majorHAnsi" w:cstheme="majorHAnsi"/>
          <w:b/>
          <w:bCs/>
          <w:sz w:val="20"/>
          <w:szCs w:val="20"/>
          <w:lang w:eastAsia="en-GB"/>
        </w:rPr>
      </w:pPr>
      <w:r w:rsidRPr="00484354">
        <w:rPr>
          <w:rFonts w:asciiTheme="majorHAnsi" w:eastAsia="Times New Roman" w:hAnsiTheme="majorHAnsi" w:cstheme="majorHAnsi"/>
          <w:b/>
          <w:bCs/>
          <w:sz w:val="20"/>
          <w:szCs w:val="20"/>
          <w:lang w:eastAsia="en-GB"/>
        </w:rPr>
        <w:t xml:space="preserve">Cup and Saucer, c. 1730, </w:t>
      </w:r>
    </w:p>
    <w:p w:rsidR="00852032" w:rsidRDefault="00335155" w:rsidP="00335155">
      <w:pPr>
        <w:spacing w:after="0" w:line="240" w:lineRule="auto"/>
        <w:rPr>
          <w:rFonts w:asciiTheme="majorHAnsi" w:eastAsia="Times New Roman" w:hAnsiTheme="majorHAnsi" w:cstheme="majorHAnsi"/>
          <w:b/>
          <w:bCs/>
          <w:sz w:val="20"/>
          <w:szCs w:val="20"/>
          <w:lang w:eastAsia="en-GB"/>
        </w:rPr>
      </w:pPr>
      <w:r>
        <w:rPr>
          <w:rFonts w:asciiTheme="majorHAnsi" w:eastAsia="Times New Roman" w:hAnsiTheme="majorHAnsi" w:cstheme="majorHAnsi"/>
          <w:b/>
          <w:bCs/>
          <w:sz w:val="20"/>
          <w:szCs w:val="20"/>
          <w:lang w:eastAsia="en-GB"/>
        </w:rPr>
        <w:t>J</w:t>
      </w:r>
      <w:r w:rsidR="00852032" w:rsidRPr="00484354">
        <w:rPr>
          <w:rFonts w:asciiTheme="majorHAnsi" w:eastAsia="Times New Roman" w:hAnsiTheme="majorHAnsi" w:cstheme="majorHAnsi"/>
          <w:b/>
          <w:bCs/>
          <w:sz w:val="20"/>
          <w:szCs w:val="20"/>
          <w:lang w:eastAsia="en-GB"/>
        </w:rPr>
        <w:t xml:space="preserve">ingdezhen Porcelain </w:t>
      </w:r>
    </w:p>
    <w:p w:rsidR="00335155" w:rsidRDefault="00335155" w:rsidP="00335155">
      <w:pPr>
        <w:spacing w:after="0" w:line="240" w:lineRule="auto"/>
        <w:rPr>
          <w:rFonts w:asciiTheme="majorHAnsi" w:eastAsia="Times New Roman" w:hAnsiTheme="majorHAnsi" w:cstheme="majorHAnsi"/>
          <w:b/>
          <w:bCs/>
          <w:sz w:val="20"/>
          <w:szCs w:val="20"/>
          <w:lang w:eastAsia="en-GB"/>
        </w:rPr>
      </w:pPr>
      <w:r>
        <w:rPr>
          <w:rFonts w:asciiTheme="majorHAnsi" w:eastAsia="Times New Roman" w:hAnsiTheme="majorHAnsi" w:cstheme="majorHAnsi"/>
          <w:b/>
          <w:bCs/>
          <w:sz w:val="20"/>
          <w:szCs w:val="20"/>
          <w:lang w:eastAsia="en-GB"/>
        </w:rPr>
        <w:t xml:space="preserve">Glazed porcelain </w:t>
      </w:r>
    </w:p>
    <w:p w:rsidR="000707AE" w:rsidRDefault="000707AE" w:rsidP="000707AE">
      <w:pPr>
        <w:shd w:val="clear" w:color="auto" w:fill="FFFFFF"/>
        <w:spacing w:after="0" w:line="240" w:lineRule="auto"/>
        <w:outlineLvl w:val="3"/>
        <w:rPr>
          <w:rFonts w:asciiTheme="majorHAnsi" w:eastAsia="Times New Roman" w:hAnsiTheme="majorHAnsi" w:cstheme="majorHAnsi"/>
          <w:b/>
          <w:bCs/>
          <w:sz w:val="20"/>
          <w:szCs w:val="20"/>
          <w:lang w:eastAsia="en-GB"/>
        </w:rPr>
      </w:pPr>
      <w:r>
        <w:rPr>
          <w:rFonts w:asciiTheme="majorHAnsi" w:eastAsia="Times New Roman" w:hAnsiTheme="majorHAnsi" w:cstheme="majorHAnsi"/>
          <w:b/>
          <w:bCs/>
          <w:sz w:val="20"/>
          <w:szCs w:val="20"/>
          <w:lang w:eastAsia="en-GB"/>
        </w:rPr>
        <w:t>X.5631</w:t>
      </w:r>
    </w:p>
    <w:p w:rsidR="000707AE" w:rsidRDefault="000707AE" w:rsidP="000707AE">
      <w:pPr>
        <w:shd w:val="clear" w:color="auto" w:fill="FFFFFF"/>
        <w:spacing w:after="0" w:line="240" w:lineRule="auto"/>
        <w:outlineLvl w:val="3"/>
        <w:rPr>
          <w:rFonts w:asciiTheme="majorHAnsi" w:eastAsia="Times New Roman" w:hAnsiTheme="majorHAnsi" w:cstheme="majorHAnsi"/>
          <w:b/>
          <w:bCs/>
          <w:sz w:val="20"/>
          <w:szCs w:val="20"/>
          <w:lang w:eastAsia="en-GB"/>
        </w:rPr>
      </w:pPr>
    </w:p>
    <w:p w:rsidR="000707AE" w:rsidRPr="000707AE" w:rsidRDefault="000707AE" w:rsidP="000707AE">
      <w:pPr>
        <w:shd w:val="clear" w:color="auto" w:fill="FFFFFF"/>
        <w:spacing w:after="0" w:line="240" w:lineRule="auto"/>
        <w:outlineLvl w:val="3"/>
        <w:rPr>
          <w:rFonts w:asciiTheme="majorHAnsi" w:hAnsiTheme="majorHAnsi" w:cstheme="majorHAnsi"/>
          <w:sz w:val="20"/>
          <w:szCs w:val="20"/>
        </w:rPr>
      </w:pPr>
    </w:p>
    <w:p w:rsidR="00852032" w:rsidRPr="00484354" w:rsidRDefault="002B147E" w:rsidP="002B147E">
      <w:pPr>
        <w:spacing w:before="100" w:beforeAutospacing="1" w:after="100" w:afterAutospacing="1" w:line="240" w:lineRule="auto"/>
        <w:rPr>
          <w:rFonts w:asciiTheme="majorHAnsi" w:eastAsia="Times New Roman" w:hAnsiTheme="majorHAnsi" w:cstheme="majorHAnsi"/>
          <w:sz w:val="20"/>
          <w:szCs w:val="20"/>
          <w:lang w:eastAsia="en-GB"/>
        </w:rPr>
      </w:pPr>
      <w:r w:rsidRPr="00484354">
        <w:rPr>
          <w:rFonts w:asciiTheme="majorHAnsi" w:eastAsia="Times New Roman" w:hAnsiTheme="majorHAnsi" w:cstheme="majorHAnsi"/>
          <w:sz w:val="20"/>
          <w:szCs w:val="20"/>
          <w:lang w:eastAsia="en-GB"/>
        </w:rPr>
        <w:t>This cup and saucer, is an entry point into a larger conversation about gender representation, ambiguity, and the assumptions we bring to objects in museum collections.</w:t>
      </w:r>
      <w:r w:rsidR="00335155">
        <w:rPr>
          <w:rFonts w:asciiTheme="majorHAnsi" w:eastAsia="Times New Roman" w:hAnsiTheme="majorHAnsi" w:cstheme="majorHAnsi"/>
          <w:sz w:val="20"/>
          <w:szCs w:val="20"/>
          <w:lang w:eastAsia="en-GB"/>
        </w:rPr>
        <w:t xml:space="preserve"> </w:t>
      </w:r>
      <w:r w:rsidR="00852032" w:rsidRPr="00484354">
        <w:rPr>
          <w:rFonts w:asciiTheme="majorHAnsi" w:eastAsia="Times New Roman" w:hAnsiTheme="majorHAnsi" w:cstheme="majorHAnsi"/>
          <w:sz w:val="20"/>
          <w:szCs w:val="20"/>
          <w:lang w:eastAsia="en-GB"/>
        </w:rPr>
        <w:t>Museum records catalogue this couple as heterosexual, but as we continually reassess our collection</w:t>
      </w:r>
      <w:r w:rsidR="00B019D8" w:rsidRPr="00484354">
        <w:rPr>
          <w:rFonts w:asciiTheme="majorHAnsi" w:eastAsia="Times New Roman" w:hAnsiTheme="majorHAnsi" w:cstheme="majorHAnsi"/>
          <w:sz w:val="20"/>
          <w:szCs w:val="20"/>
          <w:lang w:eastAsia="en-GB"/>
        </w:rPr>
        <w:t xml:space="preserve">, </w:t>
      </w:r>
      <w:r w:rsidR="00B019D8">
        <w:rPr>
          <w:rFonts w:asciiTheme="majorHAnsi" w:eastAsia="Times New Roman" w:hAnsiTheme="majorHAnsi" w:cstheme="majorHAnsi"/>
          <w:sz w:val="20"/>
          <w:szCs w:val="20"/>
          <w:lang w:eastAsia="en-GB"/>
        </w:rPr>
        <w:t>and would like to ask w</w:t>
      </w:r>
      <w:r w:rsidR="00852032" w:rsidRPr="00484354">
        <w:rPr>
          <w:rFonts w:asciiTheme="majorHAnsi" w:eastAsia="Times New Roman" w:hAnsiTheme="majorHAnsi" w:cstheme="majorHAnsi"/>
          <w:sz w:val="20"/>
          <w:szCs w:val="20"/>
          <w:lang w:eastAsia="en-GB"/>
        </w:rPr>
        <w:t>hat gender do you see?</w:t>
      </w:r>
    </w:p>
    <w:p w:rsidR="00B019D8" w:rsidRPr="00484354" w:rsidRDefault="00852032" w:rsidP="00B019D8">
      <w:pPr>
        <w:spacing w:before="100" w:beforeAutospacing="1" w:after="100" w:afterAutospacing="1" w:line="240" w:lineRule="auto"/>
        <w:rPr>
          <w:rFonts w:asciiTheme="majorHAnsi" w:eastAsia="Times New Roman" w:hAnsiTheme="majorHAnsi" w:cstheme="majorHAnsi"/>
          <w:sz w:val="20"/>
          <w:szCs w:val="20"/>
          <w:lang w:eastAsia="en-GB"/>
        </w:rPr>
      </w:pPr>
      <w:r w:rsidRPr="00484354">
        <w:rPr>
          <w:rFonts w:asciiTheme="majorHAnsi" w:eastAsia="Times New Roman" w:hAnsiTheme="majorHAnsi" w:cstheme="majorHAnsi"/>
          <w:sz w:val="20"/>
          <w:szCs w:val="20"/>
          <w:lang w:eastAsia="en-GB"/>
        </w:rPr>
        <w:t>This cup and saucer, produced in 18th-century Jingdezhen, invites us to reconsider how gender is represented, both in this object and across museum collections.</w:t>
      </w:r>
      <w:r w:rsidR="00B019D8" w:rsidRPr="00B019D8">
        <w:rPr>
          <w:rFonts w:asciiTheme="majorHAnsi" w:eastAsia="Times New Roman" w:hAnsiTheme="majorHAnsi" w:cstheme="majorHAnsi"/>
          <w:sz w:val="20"/>
          <w:szCs w:val="20"/>
          <w:lang w:eastAsia="en-GB"/>
        </w:rPr>
        <w:t xml:space="preserve"> </w:t>
      </w:r>
      <w:r w:rsidR="00B019D8" w:rsidRPr="00484354">
        <w:rPr>
          <w:rFonts w:asciiTheme="majorHAnsi" w:eastAsia="Times New Roman" w:hAnsiTheme="majorHAnsi" w:cstheme="majorHAnsi"/>
          <w:sz w:val="20"/>
          <w:szCs w:val="20"/>
          <w:lang w:eastAsia="en-GB"/>
        </w:rPr>
        <w:t>While porcelain has often been associated with femininity—its delicacy, smoothness, and refinement paralleling cultural ideals of the female body—its history reveals more fluid and layered meanings. The act of drinking tea, for example, was a highly ritualised practice across cultures, performed by people of all genders, and yet shaped by shifting social expectations.</w:t>
      </w:r>
    </w:p>
    <w:p w:rsidR="00852032" w:rsidRPr="00484354" w:rsidRDefault="00852032" w:rsidP="00B019D8">
      <w:pPr>
        <w:spacing w:before="100" w:beforeAutospacing="1" w:after="100" w:afterAutospacing="1" w:line="240" w:lineRule="auto"/>
        <w:rPr>
          <w:rFonts w:asciiTheme="majorHAnsi" w:eastAsia="Times New Roman" w:hAnsiTheme="majorHAnsi" w:cstheme="majorHAnsi"/>
          <w:sz w:val="20"/>
          <w:szCs w:val="20"/>
          <w:lang w:eastAsia="en-GB"/>
        </w:rPr>
      </w:pPr>
      <w:r w:rsidRPr="00484354">
        <w:rPr>
          <w:rFonts w:asciiTheme="majorHAnsi" w:eastAsia="Times New Roman" w:hAnsiTheme="majorHAnsi" w:cstheme="majorHAnsi"/>
          <w:sz w:val="20"/>
          <w:szCs w:val="20"/>
          <w:lang w:eastAsia="en-GB"/>
        </w:rPr>
        <w:t xml:space="preserve"> Chinese ceramics, including those exported to Europe, frequently depicted figures that do not conform to rigid gender binaries. Painted scenes on porcelain often blend characteristics that might be read as masculine or feminine, reflecting broader artistic tradition</w:t>
      </w:r>
      <w:r w:rsidR="002B147E" w:rsidRPr="00484354">
        <w:rPr>
          <w:rFonts w:asciiTheme="majorHAnsi" w:eastAsia="Times New Roman" w:hAnsiTheme="majorHAnsi" w:cstheme="majorHAnsi"/>
          <w:sz w:val="20"/>
          <w:szCs w:val="20"/>
          <w:lang w:eastAsia="en-GB"/>
        </w:rPr>
        <w:t>s in which androgyny was idealis</w:t>
      </w:r>
      <w:r w:rsidRPr="00484354">
        <w:rPr>
          <w:rFonts w:asciiTheme="majorHAnsi" w:eastAsia="Times New Roman" w:hAnsiTheme="majorHAnsi" w:cstheme="majorHAnsi"/>
          <w:sz w:val="20"/>
          <w:szCs w:val="20"/>
          <w:lang w:eastAsia="en-GB"/>
        </w:rPr>
        <w:t>ed or where gender presentation was ambiguous. Such representations challenge the assumption that gender is fixed, instead revealing a more nuanced and fluid understanding of identity across time and place.</w:t>
      </w:r>
    </w:p>
    <w:p w:rsidR="00B019D8" w:rsidRDefault="00B019D8" w:rsidP="00852032">
      <w:pPr>
        <w:spacing w:before="100" w:beforeAutospacing="1" w:after="100" w:afterAutospacing="1" w:line="240" w:lineRule="auto"/>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Museums </w:t>
      </w:r>
      <w:r w:rsidR="002B147E" w:rsidRPr="00484354">
        <w:rPr>
          <w:rFonts w:asciiTheme="majorHAnsi" w:eastAsia="Times New Roman" w:hAnsiTheme="majorHAnsi" w:cstheme="majorHAnsi"/>
          <w:sz w:val="20"/>
          <w:szCs w:val="20"/>
          <w:lang w:eastAsia="en-GB"/>
        </w:rPr>
        <w:t>have long categorised</w:t>
      </w:r>
      <w:r w:rsidR="00852032" w:rsidRPr="00484354">
        <w:rPr>
          <w:rFonts w:asciiTheme="majorHAnsi" w:eastAsia="Times New Roman" w:hAnsiTheme="majorHAnsi" w:cstheme="majorHAnsi"/>
          <w:sz w:val="20"/>
          <w:szCs w:val="20"/>
          <w:lang w:eastAsia="en-GB"/>
        </w:rPr>
        <w:t xml:space="preserve"> objects and their histories through binary gender frameworks. Yet collections contain a multitude of representations that defy these structures—figures with ambiguous dress, gestures, and facial features; depictions of historical roles that blurred gender bo</w:t>
      </w:r>
      <w:r w:rsidR="002B147E" w:rsidRPr="00484354">
        <w:rPr>
          <w:rFonts w:asciiTheme="majorHAnsi" w:eastAsia="Times New Roman" w:hAnsiTheme="majorHAnsi" w:cstheme="majorHAnsi"/>
          <w:sz w:val="20"/>
          <w:szCs w:val="20"/>
          <w:lang w:eastAsia="en-GB"/>
        </w:rPr>
        <w:t>undaries; and objects, like the figures on this</w:t>
      </w:r>
      <w:r w:rsidR="00852032" w:rsidRPr="00484354">
        <w:rPr>
          <w:rFonts w:asciiTheme="majorHAnsi" w:eastAsia="Times New Roman" w:hAnsiTheme="majorHAnsi" w:cstheme="majorHAnsi"/>
          <w:sz w:val="20"/>
          <w:szCs w:val="20"/>
          <w:lang w:eastAsia="en-GB"/>
        </w:rPr>
        <w:t xml:space="preserve"> porcelain, that complicate the ways gender has been assigned to material culture. By </w:t>
      </w:r>
      <w:r w:rsidR="002B147E" w:rsidRPr="00484354">
        <w:rPr>
          <w:rFonts w:asciiTheme="majorHAnsi" w:eastAsia="Times New Roman" w:hAnsiTheme="majorHAnsi" w:cstheme="majorHAnsi"/>
          <w:sz w:val="20"/>
          <w:szCs w:val="20"/>
          <w:lang w:eastAsia="en-GB"/>
        </w:rPr>
        <w:t>re-examining</w:t>
      </w:r>
      <w:r w:rsidR="00852032" w:rsidRPr="00484354">
        <w:rPr>
          <w:rFonts w:asciiTheme="majorHAnsi" w:eastAsia="Times New Roman" w:hAnsiTheme="majorHAnsi" w:cstheme="majorHAnsi"/>
          <w:sz w:val="20"/>
          <w:szCs w:val="20"/>
          <w:lang w:eastAsia="en-GB"/>
        </w:rPr>
        <w:t xml:space="preserve"> these pieces, we uncover narratives of gender nonconformity and fluidity that have always existed, even if they have been overlooked or misinterpreted.</w:t>
      </w:r>
      <w:r w:rsidRPr="00B019D8">
        <w:rPr>
          <w:rFonts w:asciiTheme="majorHAnsi" w:eastAsia="Times New Roman" w:hAnsiTheme="majorHAnsi" w:cstheme="majorHAnsi"/>
          <w:sz w:val="20"/>
          <w:szCs w:val="20"/>
          <w:lang w:eastAsia="en-GB"/>
        </w:rPr>
        <w:t xml:space="preserve"> </w:t>
      </w:r>
    </w:p>
    <w:p w:rsidR="00277778" w:rsidRPr="00484354" w:rsidRDefault="00277778" w:rsidP="00852032">
      <w:pPr>
        <w:shd w:val="clear" w:color="auto" w:fill="FFFFFF"/>
        <w:spacing w:after="0" w:line="240" w:lineRule="auto"/>
        <w:outlineLvl w:val="3"/>
        <w:rPr>
          <w:rFonts w:asciiTheme="majorHAnsi" w:hAnsiTheme="majorHAnsi" w:cstheme="majorHAnsi"/>
          <w:sz w:val="20"/>
          <w:szCs w:val="20"/>
        </w:rPr>
      </w:pPr>
    </w:p>
    <w:sectPr w:rsidR="00277778" w:rsidRPr="00484354" w:rsidSect="003950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3D"/>
    <w:rsid w:val="000707AE"/>
    <w:rsid w:val="000E26C1"/>
    <w:rsid w:val="001E527E"/>
    <w:rsid w:val="00277778"/>
    <w:rsid w:val="002B147E"/>
    <w:rsid w:val="00311CFD"/>
    <w:rsid w:val="00335155"/>
    <w:rsid w:val="00341C3D"/>
    <w:rsid w:val="0039508C"/>
    <w:rsid w:val="00484354"/>
    <w:rsid w:val="006A5828"/>
    <w:rsid w:val="00852032"/>
    <w:rsid w:val="009D0B06"/>
    <w:rsid w:val="00A50EE7"/>
    <w:rsid w:val="00B014B0"/>
    <w:rsid w:val="00B019D8"/>
    <w:rsid w:val="00EF6A23"/>
    <w:rsid w:val="00EF705F"/>
    <w:rsid w:val="00F35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351B"/>
  <w15:chartTrackingRefBased/>
  <w15:docId w15:val="{E034672D-9B61-4FA8-8D95-FDEFA7D7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11C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1C3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39508C"/>
    <w:rPr>
      <w:color w:val="0000FF"/>
      <w:u w:val="single"/>
    </w:rPr>
  </w:style>
  <w:style w:type="character" w:styleId="Emphasis">
    <w:name w:val="Emphasis"/>
    <w:basedOn w:val="DefaultParagraphFont"/>
    <w:uiPriority w:val="20"/>
    <w:qFormat/>
    <w:rsid w:val="0039508C"/>
    <w:rPr>
      <w:i/>
      <w:iCs/>
    </w:rPr>
  </w:style>
  <w:style w:type="paragraph" w:styleId="NormalWeb">
    <w:name w:val="Normal (Web)"/>
    <w:basedOn w:val="Normal"/>
    <w:uiPriority w:val="99"/>
    <w:unhideWhenUsed/>
    <w:rsid w:val="00B014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e-bracket">
    <w:name w:val="cite-bracket"/>
    <w:basedOn w:val="DefaultParagraphFont"/>
    <w:rsid w:val="00B014B0"/>
  </w:style>
  <w:style w:type="character" w:styleId="Strong">
    <w:name w:val="Strong"/>
    <w:basedOn w:val="DefaultParagraphFont"/>
    <w:uiPriority w:val="22"/>
    <w:qFormat/>
    <w:rsid w:val="00EF6A23"/>
    <w:rPr>
      <w:b/>
      <w:bCs/>
    </w:rPr>
  </w:style>
  <w:style w:type="character" w:customStyle="1" w:styleId="Heading3Char">
    <w:name w:val="Heading 3 Char"/>
    <w:basedOn w:val="DefaultParagraphFont"/>
    <w:link w:val="Heading3"/>
    <w:uiPriority w:val="9"/>
    <w:rsid w:val="00311CF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1945">
      <w:bodyDiv w:val="1"/>
      <w:marLeft w:val="0"/>
      <w:marRight w:val="0"/>
      <w:marTop w:val="0"/>
      <w:marBottom w:val="0"/>
      <w:divBdr>
        <w:top w:val="none" w:sz="0" w:space="0" w:color="auto"/>
        <w:left w:val="none" w:sz="0" w:space="0" w:color="auto"/>
        <w:bottom w:val="none" w:sz="0" w:space="0" w:color="auto"/>
        <w:right w:val="none" w:sz="0" w:space="0" w:color="auto"/>
      </w:divBdr>
    </w:div>
    <w:div w:id="340083950">
      <w:bodyDiv w:val="1"/>
      <w:marLeft w:val="0"/>
      <w:marRight w:val="0"/>
      <w:marTop w:val="0"/>
      <w:marBottom w:val="0"/>
      <w:divBdr>
        <w:top w:val="none" w:sz="0" w:space="0" w:color="auto"/>
        <w:left w:val="none" w:sz="0" w:space="0" w:color="auto"/>
        <w:bottom w:val="none" w:sz="0" w:space="0" w:color="auto"/>
        <w:right w:val="none" w:sz="0" w:space="0" w:color="auto"/>
      </w:divBdr>
    </w:div>
    <w:div w:id="482308718">
      <w:bodyDiv w:val="1"/>
      <w:marLeft w:val="0"/>
      <w:marRight w:val="0"/>
      <w:marTop w:val="0"/>
      <w:marBottom w:val="0"/>
      <w:divBdr>
        <w:top w:val="none" w:sz="0" w:space="0" w:color="auto"/>
        <w:left w:val="none" w:sz="0" w:space="0" w:color="auto"/>
        <w:bottom w:val="none" w:sz="0" w:space="0" w:color="auto"/>
        <w:right w:val="none" w:sz="0" w:space="0" w:color="auto"/>
      </w:divBdr>
      <w:divsChild>
        <w:div w:id="391926660">
          <w:marLeft w:val="0"/>
          <w:marRight w:val="0"/>
          <w:marTop w:val="0"/>
          <w:marBottom w:val="0"/>
          <w:divBdr>
            <w:top w:val="none" w:sz="0" w:space="0" w:color="auto"/>
            <w:left w:val="none" w:sz="0" w:space="0" w:color="auto"/>
            <w:bottom w:val="none" w:sz="0" w:space="0" w:color="auto"/>
            <w:right w:val="none" w:sz="0" w:space="0" w:color="auto"/>
          </w:divBdr>
        </w:div>
      </w:divsChild>
    </w:div>
    <w:div w:id="609892242">
      <w:bodyDiv w:val="1"/>
      <w:marLeft w:val="0"/>
      <w:marRight w:val="0"/>
      <w:marTop w:val="0"/>
      <w:marBottom w:val="0"/>
      <w:divBdr>
        <w:top w:val="none" w:sz="0" w:space="0" w:color="auto"/>
        <w:left w:val="none" w:sz="0" w:space="0" w:color="auto"/>
        <w:bottom w:val="none" w:sz="0" w:space="0" w:color="auto"/>
        <w:right w:val="none" w:sz="0" w:space="0" w:color="auto"/>
      </w:divBdr>
    </w:div>
    <w:div w:id="772021595">
      <w:bodyDiv w:val="1"/>
      <w:marLeft w:val="0"/>
      <w:marRight w:val="0"/>
      <w:marTop w:val="0"/>
      <w:marBottom w:val="0"/>
      <w:divBdr>
        <w:top w:val="none" w:sz="0" w:space="0" w:color="auto"/>
        <w:left w:val="none" w:sz="0" w:space="0" w:color="auto"/>
        <w:bottom w:val="none" w:sz="0" w:space="0" w:color="auto"/>
        <w:right w:val="none" w:sz="0" w:space="0" w:color="auto"/>
      </w:divBdr>
    </w:div>
    <w:div w:id="11408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6569861E51845B9436D5646F82D0C" ma:contentTypeVersion="15" ma:contentTypeDescription="Create a new document." ma:contentTypeScope="" ma:versionID="1cbc0bc486429873b10250f03e451125">
  <xsd:schema xmlns:xsd="http://www.w3.org/2001/XMLSchema" xmlns:xs="http://www.w3.org/2001/XMLSchema" xmlns:p="http://schemas.microsoft.com/office/2006/metadata/properties" xmlns:ns3="d9e1b571-9271-410b-8384-f1b6a60ae89e" xmlns:ns4="fe58f980-886c-414e-b629-7f15ea2ed599" targetNamespace="http://schemas.microsoft.com/office/2006/metadata/properties" ma:root="true" ma:fieldsID="40161e7e8519b6a15b8b737e51c71f89" ns3:_="" ns4:_="">
    <xsd:import namespace="d9e1b571-9271-410b-8384-f1b6a60ae89e"/>
    <xsd:import namespace="fe58f980-886c-414e-b629-7f15ea2ed59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1b571-9271-410b-8384-f1b6a60a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8f980-886c-414e-b629-7f15ea2ed5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e1b571-9271-410b-8384-f1b6a60ae8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4FD29-FD33-4ABD-A5CB-2C15235A7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1b571-9271-410b-8384-f1b6a60ae89e"/>
    <ds:schemaRef ds:uri="fe58f980-886c-414e-b629-7f15ea2ed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C8CE3-DFE6-4F0E-9D06-DFE24BDD583E}">
  <ds:schemaRefs>
    <ds:schemaRef ds:uri="http://schemas.microsoft.com/office/2006/metadata/properties"/>
    <ds:schemaRef ds:uri="http://schemas.microsoft.com/office/infopath/2007/PartnerControls"/>
    <ds:schemaRef ds:uri="d9e1b571-9271-410b-8384-f1b6a60ae89e"/>
  </ds:schemaRefs>
</ds:datastoreItem>
</file>

<file path=customXml/itemProps3.xml><?xml version="1.0" encoding="utf-8"?>
<ds:datastoreItem xmlns:ds="http://schemas.openxmlformats.org/officeDocument/2006/customXml" ds:itemID="{5C42BDB3-343C-440D-A6B4-14C8B955E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Thirlway</dc:creator>
  <cp:keywords/>
  <dc:description/>
  <cp:lastModifiedBy>Eleanor Thirlway</cp:lastModifiedBy>
  <cp:revision>11</cp:revision>
  <dcterms:created xsi:type="dcterms:W3CDTF">2025-03-20T16:30:00Z</dcterms:created>
  <dcterms:modified xsi:type="dcterms:W3CDTF">2025-03-24T16:21:00Z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0x010100D6D6569861E51845B9436D5646F82D0C</vt:lpwstr>
  </property>
</Properties>
</file>